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70" w:rsidRPr="00A65757" w:rsidRDefault="00055770" w:rsidP="00055770">
      <w:pPr>
        <w:spacing w:after="240" w:line="240" w:lineRule="auto"/>
        <w:jc w:val="center"/>
        <w:rPr>
          <w:rFonts w:ascii="Times New Roman" w:hAnsi="Times New Roman"/>
          <w:b/>
          <w:sz w:val="24"/>
          <w:szCs w:val="24"/>
        </w:rPr>
      </w:pPr>
      <w:proofErr w:type="spellStart"/>
      <w:r w:rsidRPr="00A65757">
        <w:rPr>
          <w:rFonts w:ascii="Times New Roman" w:hAnsi="Times New Roman"/>
          <w:b/>
          <w:sz w:val="24"/>
          <w:szCs w:val="24"/>
        </w:rPr>
        <w:t>TimberWest</w:t>
      </w:r>
      <w:proofErr w:type="spellEnd"/>
      <w:r w:rsidRPr="00A65757">
        <w:rPr>
          <w:rFonts w:ascii="Times New Roman" w:hAnsi="Times New Roman"/>
          <w:b/>
          <w:sz w:val="24"/>
          <w:szCs w:val="24"/>
        </w:rPr>
        <w:t xml:space="preserve"> Forest Corp., Retirement Health Benefits Class Action </w:t>
      </w:r>
    </w:p>
    <w:p w:rsidR="00055770" w:rsidRPr="00A65757" w:rsidRDefault="00055770" w:rsidP="00055770">
      <w:pPr>
        <w:spacing w:after="240" w:line="240" w:lineRule="auto"/>
        <w:jc w:val="center"/>
        <w:rPr>
          <w:rFonts w:ascii="Times New Roman" w:hAnsi="Times New Roman"/>
          <w:b/>
          <w:sz w:val="24"/>
          <w:szCs w:val="24"/>
        </w:rPr>
      </w:pPr>
      <w:r w:rsidRPr="00A65757">
        <w:rPr>
          <w:rFonts w:ascii="Times New Roman" w:hAnsi="Times New Roman"/>
          <w:b/>
          <w:sz w:val="24"/>
          <w:szCs w:val="24"/>
        </w:rPr>
        <w:t>Settlement Agreement Approved By Court</w:t>
      </w:r>
    </w:p>
    <w:p w:rsidR="00055770" w:rsidRPr="00A65757" w:rsidRDefault="00055770" w:rsidP="00055770">
      <w:pPr>
        <w:spacing w:after="240" w:line="240" w:lineRule="auto"/>
        <w:jc w:val="center"/>
        <w:rPr>
          <w:rFonts w:ascii="Times New Roman" w:hAnsi="Times New Roman"/>
          <w:sz w:val="24"/>
          <w:szCs w:val="24"/>
          <w:lang w:val="fr-CA"/>
        </w:rPr>
      </w:pPr>
      <w:proofErr w:type="spellStart"/>
      <w:r w:rsidRPr="00A65757">
        <w:rPr>
          <w:rFonts w:ascii="Times New Roman" w:hAnsi="Times New Roman"/>
          <w:i/>
          <w:sz w:val="24"/>
          <w:szCs w:val="24"/>
        </w:rPr>
        <w:t>Jablonsky</w:t>
      </w:r>
      <w:proofErr w:type="spellEnd"/>
      <w:r w:rsidRPr="00A65757">
        <w:rPr>
          <w:rFonts w:ascii="Times New Roman" w:hAnsi="Times New Roman"/>
          <w:i/>
          <w:sz w:val="24"/>
          <w:szCs w:val="24"/>
        </w:rPr>
        <w:t xml:space="preserve"> v. </w:t>
      </w:r>
      <w:proofErr w:type="spellStart"/>
      <w:r w:rsidRPr="00A65757">
        <w:rPr>
          <w:rFonts w:ascii="Times New Roman" w:hAnsi="Times New Roman"/>
          <w:i/>
          <w:sz w:val="24"/>
          <w:szCs w:val="24"/>
        </w:rPr>
        <w:t>TimberWest</w:t>
      </w:r>
      <w:proofErr w:type="spellEnd"/>
      <w:r w:rsidRPr="00A65757">
        <w:rPr>
          <w:rFonts w:ascii="Times New Roman" w:hAnsi="Times New Roman"/>
          <w:i/>
          <w:sz w:val="24"/>
          <w:szCs w:val="24"/>
        </w:rPr>
        <w:t xml:space="preserve"> Forest Corp</w:t>
      </w:r>
      <w:proofErr w:type="gramStart"/>
      <w:r w:rsidRPr="00A65757">
        <w:rPr>
          <w:rFonts w:ascii="Times New Roman" w:hAnsi="Times New Roman"/>
          <w:i/>
          <w:sz w:val="24"/>
          <w:szCs w:val="24"/>
        </w:rPr>
        <w:t>.</w:t>
      </w:r>
      <w:proofErr w:type="gramEnd"/>
      <w:r w:rsidRPr="00A65757">
        <w:rPr>
          <w:rFonts w:ascii="Times New Roman" w:hAnsi="Times New Roman"/>
          <w:sz w:val="24"/>
          <w:szCs w:val="24"/>
        </w:rPr>
        <w:br/>
        <w:t xml:space="preserve">British Columbia Supreme Court, Vancouver Registry No. </w:t>
      </w:r>
      <w:r w:rsidRPr="00A65757">
        <w:rPr>
          <w:rFonts w:ascii="Times New Roman" w:hAnsi="Times New Roman"/>
          <w:sz w:val="24"/>
          <w:szCs w:val="24"/>
          <w:lang w:val="fr-CA"/>
        </w:rPr>
        <w:t>S-140490</w:t>
      </w:r>
    </w:p>
    <w:p w:rsidR="00055770" w:rsidRPr="00A65757" w:rsidRDefault="00055770" w:rsidP="00055770">
      <w:pPr>
        <w:spacing w:after="240" w:line="240" w:lineRule="auto"/>
        <w:rPr>
          <w:rFonts w:ascii="Times New Roman" w:hAnsi="Times New Roman"/>
          <w:b/>
          <w:sz w:val="24"/>
          <w:szCs w:val="24"/>
        </w:rPr>
      </w:pPr>
    </w:p>
    <w:p w:rsidR="00055770" w:rsidRPr="00A65757" w:rsidRDefault="00055770" w:rsidP="00055770">
      <w:pPr>
        <w:spacing w:after="240" w:line="240" w:lineRule="auto"/>
        <w:rPr>
          <w:rFonts w:ascii="Times New Roman" w:hAnsi="Times New Roman"/>
          <w:b/>
          <w:sz w:val="24"/>
          <w:szCs w:val="24"/>
        </w:rPr>
      </w:pPr>
      <w:r w:rsidRPr="00A65757">
        <w:rPr>
          <w:rFonts w:ascii="Times New Roman" w:hAnsi="Times New Roman"/>
          <w:b/>
          <w:sz w:val="24"/>
          <w:szCs w:val="24"/>
        </w:rPr>
        <w:t>What is this notice?</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 xml:space="preserve">A class action lawsuit was started on behalf of retired former salaried, full-time non-unionized employees of any of </w:t>
      </w:r>
      <w:proofErr w:type="spellStart"/>
      <w:r w:rsidRPr="00A65757">
        <w:rPr>
          <w:rFonts w:ascii="Times New Roman" w:hAnsi="Times New Roman"/>
          <w:sz w:val="24"/>
          <w:szCs w:val="24"/>
        </w:rPr>
        <w:t>TimberWest</w:t>
      </w:r>
      <w:proofErr w:type="spellEnd"/>
      <w:r w:rsidRPr="00A65757">
        <w:rPr>
          <w:rFonts w:ascii="Times New Roman" w:hAnsi="Times New Roman"/>
          <w:sz w:val="24"/>
          <w:szCs w:val="24"/>
        </w:rPr>
        <w:t xml:space="preserve"> Forest Corp. (“</w:t>
      </w:r>
      <w:proofErr w:type="spellStart"/>
      <w:r w:rsidRPr="00A65757">
        <w:rPr>
          <w:rFonts w:ascii="Times New Roman" w:hAnsi="Times New Roman"/>
          <w:b/>
          <w:sz w:val="24"/>
          <w:szCs w:val="24"/>
        </w:rPr>
        <w:t>TimberWest</w:t>
      </w:r>
      <w:proofErr w:type="spellEnd"/>
      <w:r w:rsidRPr="00A65757">
        <w:rPr>
          <w:rFonts w:ascii="Times New Roman" w:hAnsi="Times New Roman"/>
          <w:sz w:val="24"/>
          <w:szCs w:val="24"/>
        </w:rPr>
        <w:t xml:space="preserve">”) and its predecessors, spouses and dependent children of those employees (and, if a former employee is deceased, the estate, surviving spouse and dependent children of that deceased employee) who have or had coverage under the health benefits plan that </w:t>
      </w:r>
      <w:proofErr w:type="spellStart"/>
      <w:r w:rsidRPr="00A65757">
        <w:rPr>
          <w:rFonts w:ascii="Times New Roman" w:hAnsi="Times New Roman"/>
          <w:sz w:val="24"/>
          <w:szCs w:val="24"/>
        </w:rPr>
        <w:t>TimberWest</w:t>
      </w:r>
      <w:proofErr w:type="spellEnd"/>
      <w:r w:rsidRPr="00A65757">
        <w:rPr>
          <w:rFonts w:ascii="Times New Roman" w:hAnsi="Times New Roman"/>
          <w:sz w:val="24"/>
          <w:szCs w:val="24"/>
        </w:rPr>
        <w:t xml:space="preserve"> offered to its retired employees.</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 xml:space="preserve">The plaintiff alleges that </w:t>
      </w:r>
      <w:proofErr w:type="spellStart"/>
      <w:r w:rsidRPr="00A65757">
        <w:rPr>
          <w:rFonts w:ascii="Times New Roman" w:hAnsi="Times New Roman"/>
          <w:sz w:val="24"/>
          <w:szCs w:val="24"/>
        </w:rPr>
        <w:t>TimberWest</w:t>
      </w:r>
      <w:proofErr w:type="spellEnd"/>
      <w:r w:rsidRPr="00A65757">
        <w:rPr>
          <w:rFonts w:ascii="Times New Roman" w:hAnsi="Times New Roman"/>
          <w:sz w:val="24"/>
          <w:szCs w:val="24"/>
        </w:rPr>
        <w:t xml:space="preserve"> was not entitled to reduce post-retirement health and welfare benefits in the manner it did on or about September 1, 2009, and May 1, 2010. </w:t>
      </w:r>
      <w:proofErr w:type="spellStart"/>
      <w:r w:rsidRPr="00A65757">
        <w:rPr>
          <w:rFonts w:ascii="Times New Roman" w:hAnsi="Times New Roman"/>
          <w:sz w:val="24"/>
          <w:szCs w:val="24"/>
        </w:rPr>
        <w:t>TimberWest</w:t>
      </w:r>
      <w:proofErr w:type="spellEnd"/>
      <w:r w:rsidRPr="00A65757">
        <w:rPr>
          <w:rFonts w:ascii="Times New Roman" w:hAnsi="Times New Roman"/>
          <w:sz w:val="24"/>
          <w:szCs w:val="24"/>
        </w:rPr>
        <w:t xml:space="preserve"> denies the plaintiff’s allegations and denies any wrongdoing or liability. The court has not taken any position as to the truth or merit of the claims or defences asserted by either side.</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 xml:space="preserve">A settlement agreement has been concluded between the plaintiff and </w:t>
      </w:r>
      <w:proofErr w:type="spellStart"/>
      <w:r w:rsidRPr="00A65757">
        <w:rPr>
          <w:rFonts w:ascii="Times New Roman" w:hAnsi="Times New Roman"/>
          <w:sz w:val="24"/>
          <w:szCs w:val="24"/>
        </w:rPr>
        <w:t>TimberWest</w:t>
      </w:r>
      <w:proofErr w:type="spellEnd"/>
      <w:r w:rsidRPr="00A65757">
        <w:rPr>
          <w:rFonts w:ascii="Times New Roman" w:hAnsi="Times New Roman"/>
          <w:sz w:val="24"/>
          <w:szCs w:val="24"/>
        </w:rPr>
        <w:t>, and the settlement has been approved by the court. If you fit the description above, you may be a settlement class member or a potential settlement class member in this action. Your legal rights may be affected by this settlement.</w:t>
      </w:r>
    </w:p>
    <w:p w:rsidR="00055770" w:rsidRPr="00A65757" w:rsidRDefault="00055770" w:rsidP="00055770">
      <w:pPr>
        <w:spacing w:after="240" w:line="240" w:lineRule="auto"/>
        <w:rPr>
          <w:rFonts w:ascii="Times New Roman" w:hAnsi="Times New Roman"/>
          <w:b/>
          <w:sz w:val="24"/>
          <w:szCs w:val="24"/>
        </w:rPr>
      </w:pPr>
      <w:r w:rsidRPr="00A65757">
        <w:rPr>
          <w:rFonts w:ascii="Times New Roman" w:hAnsi="Times New Roman"/>
          <w:b/>
          <w:sz w:val="24"/>
          <w:szCs w:val="24"/>
        </w:rPr>
        <w:t>What are the terms of the settlement?</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If and when the settlement agreement is implemented settlement class members will be entitled to a revised benefits package. Benefits for extended health care, travel coverage, prescription drugs, emergency and hospital care, vision care and dental will remain unchanged from those you currently receive. (Note</w:t>
      </w:r>
      <w:proofErr w:type="gramStart"/>
      <w:r w:rsidRPr="00A65757">
        <w:rPr>
          <w:rFonts w:ascii="Times New Roman" w:hAnsi="Times New Roman"/>
          <w:sz w:val="24"/>
          <w:szCs w:val="24"/>
        </w:rPr>
        <w:t>,</w:t>
      </w:r>
      <w:proofErr w:type="gramEnd"/>
      <w:r w:rsidRPr="00A65757">
        <w:rPr>
          <w:rFonts w:ascii="Times New Roman" w:hAnsi="Times New Roman"/>
          <w:sz w:val="24"/>
          <w:szCs w:val="24"/>
        </w:rPr>
        <w:t xml:space="preserve"> the revised benefit package is not retroactive.) </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 xml:space="preserve">For </w:t>
      </w:r>
      <w:proofErr w:type="gramStart"/>
      <w:r w:rsidRPr="00A65757">
        <w:rPr>
          <w:rFonts w:ascii="Times New Roman" w:hAnsi="Times New Roman"/>
          <w:sz w:val="24"/>
          <w:szCs w:val="24"/>
        </w:rPr>
        <w:t>employees</w:t>
      </w:r>
      <w:proofErr w:type="gramEnd"/>
      <w:r w:rsidRPr="00A65757">
        <w:rPr>
          <w:rFonts w:ascii="Times New Roman" w:hAnsi="Times New Roman"/>
          <w:sz w:val="24"/>
          <w:szCs w:val="24"/>
        </w:rPr>
        <w:t xml:space="preserve"> who retired before 1990, and their spouses and dependants, </w:t>
      </w:r>
      <w:proofErr w:type="spellStart"/>
      <w:r w:rsidRPr="00A65757">
        <w:rPr>
          <w:rFonts w:ascii="Times New Roman" w:hAnsi="Times New Roman"/>
          <w:sz w:val="24"/>
          <w:szCs w:val="24"/>
        </w:rPr>
        <w:t>TimberWest</w:t>
      </w:r>
      <w:proofErr w:type="spellEnd"/>
      <w:r w:rsidRPr="00A65757">
        <w:rPr>
          <w:rFonts w:ascii="Times New Roman" w:hAnsi="Times New Roman"/>
          <w:sz w:val="24"/>
          <w:szCs w:val="24"/>
        </w:rPr>
        <w:t xml:space="preserve"> will fully cover MSP premiums. </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 xml:space="preserve">Employees who retired in 1990 or later, and their spouses and dependents, will receive benefits described in the settlement agreement from its implementation date. In particular, </w:t>
      </w:r>
      <w:proofErr w:type="spellStart"/>
      <w:r w:rsidRPr="00A65757">
        <w:rPr>
          <w:rFonts w:ascii="Times New Roman" w:hAnsi="Times New Roman"/>
          <w:sz w:val="24"/>
          <w:szCs w:val="24"/>
        </w:rPr>
        <w:t>TimberWest</w:t>
      </w:r>
      <w:proofErr w:type="spellEnd"/>
      <w:r w:rsidRPr="00A65757">
        <w:rPr>
          <w:rFonts w:ascii="Times New Roman" w:hAnsi="Times New Roman"/>
          <w:sz w:val="24"/>
          <w:szCs w:val="24"/>
        </w:rPr>
        <w:t xml:space="preserve"> will no longer pay any portion of their MSP premiums, but will set up health </w:t>
      </w:r>
      <w:r w:rsidR="006C3DCE">
        <w:rPr>
          <w:rFonts w:ascii="Times New Roman" w:hAnsi="Times New Roman"/>
          <w:sz w:val="24"/>
          <w:szCs w:val="24"/>
        </w:rPr>
        <w:t xml:space="preserve">care </w:t>
      </w:r>
      <w:r w:rsidRPr="00A65757">
        <w:rPr>
          <w:rFonts w:ascii="Times New Roman" w:hAnsi="Times New Roman"/>
          <w:sz w:val="24"/>
          <w:szCs w:val="24"/>
        </w:rPr>
        <w:t xml:space="preserve">spending accounts to which </w:t>
      </w:r>
      <w:proofErr w:type="spellStart"/>
      <w:r w:rsidRPr="00A65757">
        <w:rPr>
          <w:rFonts w:ascii="Times New Roman" w:hAnsi="Times New Roman"/>
          <w:sz w:val="24"/>
          <w:szCs w:val="24"/>
        </w:rPr>
        <w:t>TimberWest</w:t>
      </w:r>
      <w:proofErr w:type="spellEnd"/>
      <w:r w:rsidRPr="00A65757">
        <w:rPr>
          <w:rFonts w:ascii="Times New Roman" w:hAnsi="Times New Roman"/>
          <w:sz w:val="24"/>
          <w:szCs w:val="24"/>
        </w:rPr>
        <w:t xml:space="preserve"> will credit annually, to each settlement class member an amount that can be used to pay eligible medical expenses (single: $900, couple: $1600, family: $1800). That will provide a tax effective amount you can use for eligible medical expenses that is slightly more than the 2015 MSP premium amount. The amount </w:t>
      </w:r>
      <w:proofErr w:type="spellStart"/>
      <w:r w:rsidRPr="00A65757">
        <w:rPr>
          <w:rFonts w:ascii="Times New Roman" w:hAnsi="Times New Roman"/>
          <w:sz w:val="24"/>
          <w:szCs w:val="24"/>
        </w:rPr>
        <w:t>TimberWest</w:t>
      </w:r>
      <w:proofErr w:type="spellEnd"/>
      <w:r w:rsidRPr="00A65757">
        <w:rPr>
          <w:rFonts w:ascii="Times New Roman" w:hAnsi="Times New Roman"/>
          <w:sz w:val="24"/>
          <w:szCs w:val="24"/>
        </w:rPr>
        <w:t xml:space="preserve"> will credit to the health</w:t>
      </w:r>
      <w:r w:rsidR="006C3DCE">
        <w:rPr>
          <w:rFonts w:ascii="Times New Roman" w:hAnsi="Times New Roman"/>
          <w:sz w:val="24"/>
          <w:szCs w:val="24"/>
        </w:rPr>
        <w:t xml:space="preserve"> care</w:t>
      </w:r>
      <w:bookmarkStart w:id="0" w:name="_GoBack"/>
      <w:bookmarkEnd w:id="0"/>
      <w:r w:rsidRPr="00A65757">
        <w:rPr>
          <w:rFonts w:ascii="Times New Roman" w:hAnsi="Times New Roman"/>
          <w:sz w:val="24"/>
          <w:szCs w:val="24"/>
        </w:rPr>
        <w:t xml:space="preserve"> spending accounts will increase at a rate of 1% per year. </w:t>
      </w:r>
    </w:p>
    <w:p w:rsidR="00055770" w:rsidRPr="00A65757" w:rsidRDefault="00055770" w:rsidP="00055770">
      <w:pPr>
        <w:spacing w:after="240" w:line="240" w:lineRule="auto"/>
        <w:jc w:val="both"/>
        <w:rPr>
          <w:rFonts w:ascii="Times New Roman" w:hAnsi="Times New Roman"/>
          <w:b/>
          <w:sz w:val="24"/>
          <w:szCs w:val="24"/>
        </w:rPr>
      </w:pPr>
      <w:r w:rsidRPr="00A65757">
        <w:rPr>
          <w:rFonts w:ascii="Times New Roman" w:hAnsi="Times New Roman"/>
          <w:sz w:val="24"/>
          <w:szCs w:val="24"/>
        </w:rPr>
        <w:lastRenderedPageBreak/>
        <w:t xml:space="preserve">The settlement agreement also limits the ability of </w:t>
      </w:r>
      <w:proofErr w:type="spellStart"/>
      <w:r w:rsidRPr="00A65757">
        <w:rPr>
          <w:rFonts w:ascii="Times New Roman" w:hAnsi="Times New Roman"/>
          <w:sz w:val="24"/>
          <w:szCs w:val="24"/>
        </w:rPr>
        <w:t>TimberWest</w:t>
      </w:r>
      <w:proofErr w:type="spellEnd"/>
      <w:r w:rsidRPr="00A65757">
        <w:rPr>
          <w:rFonts w:ascii="Times New Roman" w:hAnsi="Times New Roman"/>
          <w:sz w:val="24"/>
          <w:szCs w:val="24"/>
        </w:rPr>
        <w:t xml:space="preserve"> to make any modifications to post-retirement benefits in the future.</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 xml:space="preserve">More information about the settlement agreement, including the full text of the agreement and details about the specific benefits, is available online at </w:t>
      </w:r>
      <w:hyperlink r:id="rId6" w:history="1">
        <w:r w:rsidRPr="00A65757">
          <w:rPr>
            <w:rFonts w:ascii="Times New Roman" w:hAnsi="Times New Roman"/>
            <w:color w:val="0000FF" w:themeColor="hyperlink"/>
            <w:sz w:val="24"/>
            <w:szCs w:val="24"/>
            <w:u w:val="single"/>
          </w:rPr>
          <w:t>http://www.vslo.ca</w:t>
        </w:r>
      </w:hyperlink>
      <w:r w:rsidRPr="00A65757">
        <w:rPr>
          <w:rFonts w:ascii="Times New Roman" w:hAnsi="Times New Roman"/>
          <w:sz w:val="24"/>
          <w:szCs w:val="24"/>
        </w:rPr>
        <w:t xml:space="preserve"> via the links to class actions. Or, you can go directly to: </w:t>
      </w:r>
    </w:p>
    <w:p w:rsidR="00055770" w:rsidRPr="00A65757" w:rsidRDefault="006C3DCE" w:rsidP="00055770">
      <w:pPr>
        <w:spacing w:after="240" w:line="240" w:lineRule="auto"/>
        <w:ind w:firstLine="720"/>
        <w:jc w:val="both"/>
        <w:rPr>
          <w:rFonts w:ascii="Times New Roman" w:hAnsi="Times New Roman"/>
          <w:sz w:val="24"/>
          <w:szCs w:val="24"/>
        </w:rPr>
      </w:pPr>
      <w:hyperlink r:id="rId7" w:history="1">
        <w:proofErr w:type="gramStart"/>
        <w:r w:rsidR="00055770" w:rsidRPr="00A65757">
          <w:rPr>
            <w:rFonts w:ascii="Times New Roman" w:hAnsi="Times New Roman"/>
            <w:color w:val="0000FF" w:themeColor="hyperlink"/>
            <w:sz w:val="24"/>
            <w:szCs w:val="24"/>
            <w:u w:val="single"/>
          </w:rPr>
          <w:t>http://www.vslo.ca/</w:t>
        </w:r>
      </w:hyperlink>
      <w:r w:rsidR="00055770" w:rsidRPr="00A65757">
        <w:rPr>
          <w:rFonts w:ascii="Times New Roman" w:hAnsi="Times New Roman"/>
          <w:color w:val="0000FF" w:themeColor="hyperlink"/>
          <w:sz w:val="24"/>
          <w:szCs w:val="24"/>
          <w:u w:val="single"/>
        </w:rPr>
        <w:t>services/class-actions/timberwestclassaction</w:t>
      </w:r>
      <w:r w:rsidR="00055770" w:rsidRPr="00A65757">
        <w:rPr>
          <w:rFonts w:ascii="Times New Roman" w:hAnsi="Times New Roman"/>
          <w:sz w:val="24"/>
          <w:szCs w:val="24"/>
        </w:rPr>
        <w:t>.</w:t>
      </w:r>
      <w:proofErr w:type="gramEnd"/>
    </w:p>
    <w:p w:rsidR="00055770" w:rsidRPr="00A65757" w:rsidRDefault="00055770" w:rsidP="00055770">
      <w:pPr>
        <w:spacing w:after="240" w:line="240" w:lineRule="auto"/>
        <w:rPr>
          <w:rFonts w:ascii="Times New Roman" w:hAnsi="Times New Roman"/>
          <w:b/>
          <w:sz w:val="24"/>
          <w:szCs w:val="24"/>
        </w:rPr>
      </w:pPr>
      <w:r w:rsidRPr="00A65757">
        <w:rPr>
          <w:rFonts w:ascii="Times New Roman" w:hAnsi="Times New Roman"/>
          <w:b/>
          <w:sz w:val="24"/>
          <w:szCs w:val="24"/>
        </w:rPr>
        <w:t>Do I have to do anything to participate in the settlement?</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Different requirements apply depending on where you live.</w:t>
      </w:r>
    </w:p>
    <w:p w:rsidR="00055770" w:rsidRPr="00A65757" w:rsidRDefault="00055770" w:rsidP="00055770">
      <w:pPr>
        <w:spacing w:after="240" w:line="240" w:lineRule="auto"/>
        <w:rPr>
          <w:rFonts w:ascii="Times New Roman" w:hAnsi="Times New Roman"/>
          <w:i/>
          <w:sz w:val="24"/>
          <w:szCs w:val="24"/>
        </w:rPr>
      </w:pPr>
      <w:r w:rsidRPr="00A65757">
        <w:rPr>
          <w:rFonts w:ascii="Times New Roman" w:hAnsi="Times New Roman"/>
          <w:i/>
          <w:sz w:val="24"/>
          <w:szCs w:val="24"/>
        </w:rPr>
        <w:t>The requirements for those who live in British Columbia</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 xml:space="preserve">British Columbia residents are automatically included in the settlement class and do not have to do anything in order to participate in the settlement. </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 xml:space="preserve">British Columbia residents who do </w:t>
      </w:r>
      <w:r w:rsidRPr="00A65757">
        <w:rPr>
          <w:rFonts w:ascii="Times New Roman" w:hAnsi="Times New Roman"/>
          <w:i/>
          <w:sz w:val="24"/>
          <w:szCs w:val="24"/>
        </w:rPr>
        <w:t>not</w:t>
      </w:r>
      <w:r w:rsidRPr="00A65757">
        <w:rPr>
          <w:rFonts w:ascii="Times New Roman" w:hAnsi="Times New Roman"/>
          <w:sz w:val="24"/>
          <w:szCs w:val="24"/>
        </w:rPr>
        <w:t xml:space="preserve"> wish to participate in the settlement must </w:t>
      </w:r>
      <w:r w:rsidRPr="00A65757">
        <w:rPr>
          <w:rFonts w:ascii="Times New Roman" w:hAnsi="Times New Roman"/>
          <w:b/>
          <w:sz w:val="24"/>
          <w:szCs w:val="24"/>
        </w:rPr>
        <w:t>opt out</w:t>
      </w:r>
      <w:r w:rsidRPr="00A65757">
        <w:rPr>
          <w:rFonts w:ascii="Times New Roman" w:hAnsi="Times New Roman"/>
          <w:sz w:val="24"/>
          <w:szCs w:val="24"/>
        </w:rPr>
        <w:t xml:space="preserve"> by following the instructions on the Opt-Out Form attached to this Notice. Victory Square Law Office LLP must receive your Opt-Out Form by </w:t>
      </w:r>
      <w:r>
        <w:rPr>
          <w:rFonts w:ascii="Times New Roman" w:hAnsi="Times New Roman"/>
          <w:sz w:val="24"/>
          <w:szCs w:val="24"/>
        </w:rPr>
        <w:t>August 25, 2015</w:t>
      </w:r>
      <w:r w:rsidRPr="00A65757">
        <w:rPr>
          <w:rFonts w:ascii="Times New Roman" w:hAnsi="Times New Roman"/>
          <w:sz w:val="24"/>
          <w:szCs w:val="24"/>
        </w:rPr>
        <w:t xml:space="preserve"> for you to opt out.</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If you opt out you will not be bound by the results of this lawsuit, but you will not receive any benefits under the settlement.</w:t>
      </w:r>
    </w:p>
    <w:p w:rsidR="00055770" w:rsidRPr="00A65757" w:rsidRDefault="00055770" w:rsidP="00055770">
      <w:pPr>
        <w:spacing w:after="240" w:line="240" w:lineRule="auto"/>
        <w:rPr>
          <w:rFonts w:ascii="Times New Roman" w:hAnsi="Times New Roman"/>
          <w:b/>
          <w:sz w:val="24"/>
          <w:szCs w:val="24"/>
        </w:rPr>
      </w:pPr>
      <w:r w:rsidRPr="00A65757">
        <w:rPr>
          <w:rFonts w:ascii="Times New Roman" w:hAnsi="Times New Roman"/>
          <w:sz w:val="24"/>
          <w:szCs w:val="24"/>
        </w:rPr>
        <w:t xml:space="preserve">If you live in British Columbia and want to participate in the settlement </w:t>
      </w:r>
      <w:r w:rsidRPr="00A65757">
        <w:rPr>
          <w:rFonts w:ascii="Times New Roman" w:hAnsi="Times New Roman"/>
          <w:i/>
          <w:sz w:val="24"/>
          <w:szCs w:val="24"/>
        </w:rPr>
        <w:t>do not</w:t>
      </w:r>
      <w:r w:rsidRPr="00A65757">
        <w:rPr>
          <w:rFonts w:ascii="Times New Roman" w:hAnsi="Times New Roman"/>
          <w:sz w:val="24"/>
          <w:szCs w:val="24"/>
        </w:rPr>
        <w:t xml:space="preserve"> complete the Opt-Out Form.</w:t>
      </w:r>
    </w:p>
    <w:p w:rsidR="00055770" w:rsidRPr="00A65757" w:rsidRDefault="00055770" w:rsidP="00055770">
      <w:pPr>
        <w:spacing w:after="240" w:line="240" w:lineRule="auto"/>
        <w:rPr>
          <w:rFonts w:ascii="Times New Roman" w:hAnsi="Times New Roman"/>
          <w:i/>
          <w:sz w:val="24"/>
          <w:szCs w:val="24"/>
        </w:rPr>
      </w:pPr>
      <w:r w:rsidRPr="00A65757">
        <w:rPr>
          <w:rFonts w:ascii="Times New Roman" w:hAnsi="Times New Roman"/>
          <w:i/>
          <w:sz w:val="24"/>
          <w:szCs w:val="24"/>
        </w:rPr>
        <w:t>The requirements for those who live outside British Columbia</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Those who are not British Columbia residents who wish to participate in the settlement must</w:t>
      </w:r>
      <w:r w:rsidRPr="00A65757">
        <w:rPr>
          <w:rFonts w:ascii="Times New Roman" w:hAnsi="Times New Roman"/>
          <w:b/>
          <w:sz w:val="24"/>
          <w:szCs w:val="24"/>
        </w:rPr>
        <w:t xml:space="preserve"> </w:t>
      </w:r>
      <w:r w:rsidRPr="00A65757">
        <w:rPr>
          <w:rFonts w:ascii="Times New Roman" w:hAnsi="Times New Roman"/>
          <w:sz w:val="24"/>
          <w:szCs w:val="24"/>
        </w:rPr>
        <w:t>take action now.</w:t>
      </w:r>
      <w:r w:rsidRPr="00A65757">
        <w:rPr>
          <w:rFonts w:ascii="Times New Roman" w:hAnsi="Times New Roman"/>
          <w:b/>
          <w:sz w:val="24"/>
          <w:szCs w:val="24"/>
        </w:rPr>
        <w:t xml:space="preserve"> </w:t>
      </w:r>
      <w:r w:rsidRPr="00A65757">
        <w:rPr>
          <w:rFonts w:ascii="Times New Roman" w:hAnsi="Times New Roman"/>
          <w:sz w:val="24"/>
          <w:szCs w:val="24"/>
        </w:rPr>
        <w:t>You must</w:t>
      </w:r>
      <w:r w:rsidRPr="00A65757">
        <w:rPr>
          <w:rFonts w:ascii="Times New Roman" w:hAnsi="Times New Roman"/>
          <w:b/>
          <w:sz w:val="24"/>
          <w:szCs w:val="24"/>
        </w:rPr>
        <w:t xml:space="preserve"> opt in </w:t>
      </w:r>
      <w:r w:rsidRPr="00A65757">
        <w:rPr>
          <w:rFonts w:ascii="Times New Roman" w:hAnsi="Times New Roman"/>
          <w:sz w:val="24"/>
          <w:szCs w:val="24"/>
        </w:rPr>
        <w:t>by following the instructions on the Opt-In Form attached to this Notice</w:t>
      </w:r>
      <w:r w:rsidRPr="00A65757">
        <w:rPr>
          <w:rFonts w:ascii="Times New Roman" w:hAnsi="Times New Roman"/>
          <w:b/>
          <w:sz w:val="24"/>
          <w:szCs w:val="24"/>
        </w:rPr>
        <w:t>.</w:t>
      </w:r>
      <w:r w:rsidRPr="00A65757">
        <w:rPr>
          <w:rFonts w:ascii="Times New Roman" w:hAnsi="Times New Roman"/>
          <w:sz w:val="24"/>
          <w:szCs w:val="24"/>
        </w:rPr>
        <w:t xml:space="preserve"> </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 xml:space="preserve">Victory Square Law Office LLP must receive your Opt-In Form by </w:t>
      </w:r>
      <w:r>
        <w:rPr>
          <w:rFonts w:ascii="Times New Roman" w:hAnsi="Times New Roman"/>
          <w:sz w:val="24"/>
          <w:szCs w:val="24"/>
        </w:rPr>
        <w:t>August 25, 2015</w:t>
      </w:r>
      <w:r w:rsidRPr="00A65757">
        <w:rPr>
          <w:rFonts w:ascii="Times New Roman" w:hAnsi="Times New Roman"/>
          <w:sz w:val="24"/>
          <w:szCs w:val="24"/>
        </w:rPr>
        <w:t xml:space="preserve"> for you to opt in.</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If you do not opt in you will not be bound by the results of this lawsuit, but you will not receive any benefits under the settlement.</w:t>
      </w:r>
    </w:p>
    <w:p w:rsidR="00055770" w:rsidRPr="00A65757" w:rsidRDefault="00055770" w:rsidP="00055770">
      <w:pPr>
        <w:spacing w:after="240" w:line="240" w:lineRule="auto"/>
        <w:rPr>
          <w:rFonts w:ascii="Times New Roman" w:hAnsi="Times New Roman"/>
          <w:b/>
          <w:sz w:val="24"/>
          <w:szCs w:val="24"/>
        </w:rPr>
      </w:pPr>
      <w:r w:rsidRPr="00A65757">
        <w:rPr>
          <w:rFonts w:ascii="Times New Roman" w:hAnsi="Times New Roman"/>
          <w:b/>
          <w:sz w:val="24"/>
          <w:szCs w:val="24"/>
        </w:rPr>
        <w:t>Do I have to pay anything?</w:t>
      </w:r>
    </w:p>
    <w:p w:rsidR="00055770" w:rsidRPr="00A65757" w:rsidRDefault="00055770" w:rsidP="00055770">
      <w:pPr>
        <w:spacing w:after="240" w:line="240" w:lineRule="auto"/>
        <w:jc w:val="both"/>
        <w:rPr>
          <w:rFonts w:ascii="Times New Roman" w:hAnsi="Times New Roman"/>
          <w:sz w:val="24"/>
          <w:szCs w:val="24"/>
        </w:rPr>
      </w:pPr>
      <w:r w:rsidRPr="00A65757">
        <w:rPr>
          <w:rFonts w:ascii="Times New Roman" w:hAnsi="Times New Roman"/>
          <w:sz w:val="24"/>
          <w:szCs w:val="24"/>
        </w:rPr>
        <w:t xml:space="preserve">You do not have to pay anything. Under the settlement agreement, </w:t>
      </w:r>
      <w:proofErr w:type="spellStart"/>
      <w:r w:rsidRPr="00A65757">
        <w:rPr>
          <w:rFonts w:ascii="Times New Roman" w:hAnsi="Times New Roman"/>
          <w:sz w:val="24"/>
          <w:szCs w:val="24"/>
        </w:rPr>
        <w:t>TimberWest</w:t>
      </w:r>
      <w:proofErr w:type="spellEnd"/>
      <w:r w:rsidRPr="00A65757">
        <w:rPr>
          <w:rFonts w:ascii="Times New Roman" w:hAnsi="Times New Roman"/>
          <w:sz w:val="24"/>
          <w:szCs w:val="24"/>
        </w:rPr>
        <w:t xml:space="preserve"> has agreed to pay the settlement class lawyers’ legal fees, plus costs, disbursements and taxes. </w:t>
      </w:r>
    </w:p>
    <w:p w:rsidR="00055770" w:rsidRPr="00A65757" w:rsidRDefault="00055770" w:rsidP="00055770">
      <w:pPr>
        <w:keepNext/>
        <w:spacing w:after="240" w:line="240" w:lineRule="auto"/>
        <w:rPr>
          <w:rFonts w:ascii="Times New Roman" w:hAnsi="Times New Roman"/>
          <w:b/>
          <w:sz w:val="24"/>
          <w:szCs w:val="24"/>
        </w:rPr>
      </w:pPr>
      <w:r w:rsidRPr="00A65757">
        <w:rPr>
          <w:rFonts w:ascii="Times New Roman" w:hAnsi="Times New Roman"/>
          <w:b/>
          <w:sz w:val="24"/>
          <w:szCs w:val="24"/>
        </w:rPr>
        <w:lastRenderedPageBreak/>
        <w:t>How can I get more information?</w:t>
      </w:r>
    </w:p>
    <w:p w:rsidR="00055770" w:rsidRPr="00A65757" w:rsidRDefault="00055770" w:rsidP="00055770">
      <w:pPr>
        <w:keepNext/>
        <w:spacing w:after="240" w:line="240" w:lineRule="auto"/>
        <w:rPr>
          <w:rFonts w:ascii="Times New Roman" w:hAnsi="Times New Roman"/>
          <w:sz w:val="24"/>
          <w:szCs w:val="24"/>
        </w:rPr>
      </w:pPr>
      <w:r w:rsidRPr="00A65757">
        <w:rPr>
          <w:rFonts w:ascii="Times New Roman" w:hAnsi="Times New Roman"/>
          <w:sz w:val="24"/>
          <w:szCs w:val="24"/>
        </w:rPr>
        <w:t>For more information, contact the lawyers for the settlement class:</w:t>
      </w:r>
    </w:p>
    <w:p w:rsidR="00055770" w:rsidRPr="00A65757" w:rsidRDefault="00055770" w:rsidP="00055770">
      <w:pPr>
        <w:spacing w:after="0" w:line="240" w:lineRule="auto"/>
        <w:rPr>
          <w:rFonts w:ascii="Times New Roman" w:hAnsi="Times New Roman"/>
          <w:sz w:val="24"/>
          <w:szCs w:val="24"/>
        </w:rPr>
      </w:pPr>
      <w:r w:rsidRPr="00A65757">
        <w:rPr>
          <w:rFonts w:ascii="Times New Roman" w:hAnsi="Times New Roman"/>
          <w:sz w:val="24"/>
          <w:szCs w:val="24"/>
        </w:rPr>
        <w:t>Allison Tremblay or David Blair</w:t>
      </w:r>
    </w:p>
    <w:p w:rsidR="00055770" w:rsidRPr="00A65757" w:rsidRDefault="00055770" w:rsidP="00055770">
      <w:pPr>
        <w:spacing w:after="0" w:line="240" w:lineRule="auto"/>
        <w:rPr>
          <w:rFonts w:ascii="Times New Roman" w:hAnsi="Times New Roman"/>
          <w:sz w:val="24"/>
          <w:szCs w:val="24"/>
        </w:rPr>
      </w:pPr>
      <w:r w:rsidRPr="00A65757">
        <w:rPr>
          <w:rFonts w:ascii="Times New Roman" w:hAnsi="Times New Roman"/>
          <w:sz w:val="24"/>
          <w:szCs w:val="24"/>
        </w:rPr>
        <w:t>Victory Square Law Office LLP</w:t>
      </w:r>
    </w:p>
    <w:p w:rsidR="00055770" w:rsidRPr="00A65757" w:rsidRDefault="00055770" w:rsidP="00055770">
      <w:pPr>
        <w:spacing w:after="0" w:line="240" w:lineRule="auto"/>
        <w:rPr>
          <w:rFonts w:ascii="Times New Roman" w:hAnsi="Times New Roman"/>
          <w:sz w:val="24"/>
          <w:szCs w:val="24"/>
        </w:rPr>
      </w:pPr>
      <w:r w:rsidRPr="00A65757">
        <w:rPr>
          <w:rFonts w:ascii="Times New Roman" w:hAnsi="Times New Roman"/>
          <w:sz w:val="24"/>
          <w:szCs w:val="24"/>
        </w:rPr>
        <w:t>Barristers &amp; Solicitors</w:t>
      </w:r>
    </w:p>
    <w:p w:rsidR="00055770" w:rsidRPr="00A65757" w:rsidRDefault="00055770" w:rsidP="00055770">
      <w:pPr>
        <w:spacing w:after="0" w:line="240" w:lineRule="auto"/>
        <w:rPr>
          <w:rFonts w:ascii="Times New Roman" w:hAnsi="Times New Roman"/>
          <w:sz w:val="24"/>
          <w:szCs w:val="24"/>
        </w:rPr>
      </w:pPr>
      <w:r w:rsidRPr="00A65757">
        <w:rPr>
          <w:rFonts w:ascii="Times New Roman" w:hAnsi="Times New Roman"/>
          <w:sz w:val="24"/>
          <w:szCs w:val="24"/>
        </w:rPr>
        <w:t>500 – 128 West Pender Street</w:t>
      </w:r>
    </w:p>
    <w:p w:rsidR="00055770" w:rsidRPr="00A65757" w:rsidRDefault="00055770" w:rsidP="00055770">
      <w:pPr>
        <w:spacing w:after="0" w:line="240" w:lineRule="auto"/>
        <w:rPr>
          <w:rFonts w:ascii="Times New Roman" w:hAnsi="Times New Roman"/>
          <w:sz w:val="24"/>
          <w:szCs w:val="24"/>
        </w:rPr>
      </w:pPr>
      <w:r w:rsidRPr="00A65757">
        <w:rPr>
          <w:rFonts w:ascii="Times New Roman" w:hAnsi="Times New Roman"/>
          <w:sz w:val="24"/>
          <w:szCs w:val="24"/>
        </w:rPr>
        <w:t>Vancouver, BC V6B 1R8</w:t>
      </w:r>
    </w:p>
    <w:p w:rsidR="00055770" w:rsidRPr="00A65757" w:rsidRDefault="00055770" w:rsidP="00055770">
      <w:pPr>
        <w:spacing w:after="0" w:line="240" w:lineRule="auto"/>
        <w:rPr>
          <w:rFonts w:ascii="Times New Roman" w:hAnsi="Times New Roman"/>
          <w:sz w:val="24"/>
          <w:szCs w:val="24"/>
        </w:rPr>
      </w:pPr>
      <w:r w:rsidRPr="00A65757">
        <w:rPr>
          <w:rFonts w:ascii="Times New Roman" w:hAnsi="Times New Roman"/>
          <w:sz w:val="24"/>
          <w:szCs w:val="24"/>
        </w:rPr>
        <w:t>Telephone: 604-684-8421</w:t>
      </w:r>
    </w:p>
    <w:p w:rsidR="00055770" w:rsidRPr="00A65757" w:rsidRDefault="00055770" w:rsidP="00055770">
      <w:pPr>
        <w:spacing w:after="240" w:line="240" w:lineRule="auto"/>
        <w:rPr>
          <w:rFonts w:ascii="Times New Roman" w:hAnsi="Times New Roman"/>
          <w:sz w:val="24"/>
          <w:szCs w:val="24"/>
        </w:rPr>
      </w:pPr>
      <w:r w:rsidRPr="00A65757">
        <w:rPr>
          <w:rFonts w:ascii="Times New Roman" w:hAnsi="Times New Roman"/>
          <w:sz w:val="24"/>
          <w:szCs w:val="24"/>
        </w:rPr>
        <w:t>Facsimile: 604-684-8427</w:t>
      </w:r>
      <w:r w:rsidRPr="00A65757">
        <w:rPr>
          <w:rFonts w:ascii="Times New Roman" w:hAnsi="Times New Roman"/>
          <w:sz w:val="24"/>
          <w:szCs w:val="24"/>
        </w:rPr>
        <w:br/>
        <w:t xml:space="preserve">Email: timberwestclassaction@vslo.ca  </w:t>
      </w:r>
    </w:p>
    <w:p w:rsidR="00371416" w:rsidRDefault="00371416"/>
    <w:sectPr w:rsidR="003714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AE4"/>
    <w:multiLevelType w:val="multilevel"/>
    <w:tmpl w:val="222A2B80"/>
    <w:numStyleLink w:val="TrustAgreementPlanlevels"/>
  </w:abstractNum>
  <w:abstractNum w:abstractNumId="1">
    <w:nsid w:val="76155478"/>
    <w:multiLevelType w:val="multilevel"/>
    <w:tmpl w:val="222A2B80"/>
    <w:styleLink w:val="TrustAgreementPlanlevels"/>
    <w:lvl w:ilvl="0">
      <w:start w:val="1"/>
      <w:numFmt w:val="decimal"/>
      <w:pStyle w:val="Heading1"/>
      <w:lvlText w:val="Section %1"/>
      <w:lvlJc w:val="left"/>
      <w:pPr>
        <w:ind w:left="360" w:hanging="360"/>
      </w:pPr>
      <w:rPr>
        <w:rFonts w:hint="default"/>
      </w:rPr>
    </w:lvl>
    <w:lvl w:ilvl="1">
      <w:start w:val="1"/>
      <w:numFmt w:val="decimal"/>
      <w:pStyle w:val="Heading2"/>
      <w:lvlText w:val="(%2)"/>
      <w:lvlJc w:val="left"/>
      <w:pPr>
        <w:tabs>
          <w:tab w:val="num" w:pos="454"/>
        </w:tabs>
        <w:ind w:left="357" w:firstLine="3"/>
      </w:pPr>
      <w:rPr>
        <w:rFonts w:hint="default"/>
      </w:rPr>
    </w:lvl>
    <w:lvl w:ilvl="2">
      <w:start w:val="1"/>
      <w:numFmt w:val="lowerLetter"/>
      <w:lvlText w:val="(%3)"/>
      <w:lvlJc w:val="left"/>
      <w:pPr>
        <w:ind w:left="1304" w:hanging="584"/>
      </w:pPr>
      <w:rPr>
        <w:rFonts w:hint="default"/>
      </w:rPr>
    </w:lvl>
    <w:lvl w:ilvl="3">
      <w:start w:val="1"/>
      <w:numFmt w:val="lowerRoman"/>
      <w:lvlText w:val="(%4)"/>
      <w:lvlJc w:val="left"/>
      <w:pPr>
        <w:ind w:left="1588" w:hanging="508"/>
      </w:pPr>
      <w:rPr>
        <w:rFonts w:hint="default"/>
      </w:rPr>
    </w:lvl>
    <w:lvl w:ilvl="4">
      <w:start w:val="1"/>
      <w:numFmt w:val="upperLetter"/>
      <w:lvlText w:val="(%5)"/>
      <w:lvlJc w:val="left"/>
      <w:pPr>
        <w:ind w:left="2041" w:hanging="601"/>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lvl w:ilvl="0">
        <w:start w:val="1"/>
        <w:numFmt w:val="none"/>
        <w:pStyle w:val="Heading1"/>
        <w:lvlText w:val=""/>
        <w:lvlJc w:val="left"/>
        <w:pPr>
          <w:ind w:left="360" w:hanging="360"/>
        </w:pPr>
        <w:rPr>
          <w:rFonts w:hint="default"/>
        </w:rPr>
      </w:lvl>
    </w:lvlOverride>
    <w:lvlOverride w:ilvl="1">
      <w:lvl w:ilvl="1">
        <w:start w:val="1"/>
        <w:numFmt w:val="none"/>
        <w:pStyle w:val="Heading2"/>
        <w:lvlText w:val="(1)"/>
        <w:lvlJc w:val="left"/>
        <w:pPr>
          <w:ind w:left="357" w:firstLine="3"/>
        </w:pPr>
        <w:rPr>
          <w:rFonts w:hint="default"/>
        </w:rPr>
      </w:lvl>
    </w:lvlOverride>
    <w:lvlOverride w:ilvl="2">
      <w:lvl w:ilvl="2">
        <w:numFmt w:val="none"/>
        <w:lvlText w:val="(a)"/>
        <w:lvlJc w:val="left"/>
        <w:pPr>
          <w:ind w:left="1304" w:hanging="473"/>
        </w:pPr>
        <w:rPr>
          <w:rFonts w:hint="default"/>
        </w:rPr>
      </w:lvl>
    </w:lvlOverride>
    <w:lvlOverride w:ilvl="3">
      <w:lvl w:ilvl="3">
        <w:start w:val="1"/>
        <w:numFmt w:val="none"/>
        <w:lvlText w:val="(i)"/>
        <w:lvlJc w:val="left"/>
        <w:pPr>
          <w:ind w:left="1588" w:hanging="508"/>
        </w:pPr>
        <w:rPr>
          <w:rFonts w:hint="default"/>
        </w:rPr>
      </w:lvl>
    </w:lvlOverride>
    <w:lvlOverride w:ilvl="4">
      <w:lvl w:ilvl="4">
        <w:numFmt w:val="none"/>
        <w:lvlText w:val="(A)"/>
        <w:lvlJc w:val="left"/>
        <w:pPr>
          <w:ind w:left="2041" w:hanging="601"/>
        </w:pPr>
        <w:rPr>
          <w:rFonts w:hint="default"/>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
    <w:lvlOverride w:ilvl="0">
      <w:lvl w:ilvl="0">
        <w:start w:val="1"/>
        <w:numFmt w:val="none"/>
        <w:pStyle w:val="Heading1"/>
        <w:lvlText w:val=""/>
        <w:lvlJc w:val="left"/>
        <w:pPr>
          <w:ind w:left="0" w:firstLine="0"/>
        </w:pPr>
        <w:rPr>
          <w:rFonts w:hint="default"/>
        </w:rPr>
      </w:lvl>
    </w:lvlOverride>
    <w:lvlOverride w:ilvl="1">
      <w:lvl w:ilvl="1">
        <w:start w:val="1"/>
        <w:numFmt w:val="none"/>
        <w:pStyle w:val="Heading2"/>
        <w:lvlText w:val="(1)"/>
        <w:lvlJc w:val="left"/>
        <w:pPr>
          <w:ind w:left="0" w:firstLine="360"/>
        </w:pPr>
        <w:rPr>
          <w:rFonts w:hint="default"/>
        </w:rPr>
      </w:lvl>
    </w:lvlOverride>
    <w:lvlOverride w:ilvl="2">
      <w:lvl w:ilvl="2">
        <w:numFmt w:val="none"/>
        <w:lvlText w:val="(a)"/>
        <w:lvlJc w:val="left"/>
        <w:pPr>
          <w:ind w:left="1304" w:hanging="473"/>
        </w:pPr>
        <w:rPr>
          <w:rFonts w:hint="default"/>
        </w:rPr>
      </w:lvl>
    </w:lvlOverride>
    <w:lvlOverride w:ilvl="3">
      <w:lvl w:ilvl="3">
        <w:start w:val="1"/>
        <w:numFmt w:val="none"/>
        <w:lvlText w:val="(i)"/>
        <w:lvlJc w:val="left"/>
        <w:pPr>
          <w:ind w:left="1588" w:hanging="508"/>
        </w:pPr>
        <w:rPr>
          <w:rFonts w:hint="default"/>
        </w:rPr>
      </w:lvl>
    </w:lvlOverride>
    <w:lvlOverride w:ilvl="4">
      <w:lvl w:ilvl="4">
        <w:numFmt w:val="none"/>
        <w:lvlText w:val="(A)"/>
        <w:lvlJc w:val="left"/>
        <w:pPr>
          <w:ind w:left="2041" w:hanging="601"/>
        </w:pPr>
        <w:rPr>
          <w:rFonts w:hint="default"/>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70"/>
    <w:rsid w:val="00055770"/>
    <w:rsid w:val="00330717"/>
    <w:rsid w:val="00371416"/>
    <w:rsid w:val="005D169D"/>
    <w:rsid w:val="006C3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Heading2"/>
    <w:link w:val="Heading1Char"/>
    <w:uiPriority w:val="9"/>
    <w:qFormat/>
    <w:rsid w:val="00330717"/>
    <w:pPr>
      <w:keepNext/>
      <w:keepLines/>
      <w:numPr>
        <w:numId w:val="6"/>
      </w:numPr>
      <w:spacing w:line="240" w:lineRule="auto"/>
      <w:outlineLvl w:val="0"/>
    </w:pPr>
    <w:rPr>
      <w:rFonts w:ascii="Times New Roman" w:eastAsiaTheme="majorEastAsia" w:hAnsi="Times New Roman" w:cstheme="majorBidi"/>
      <w:b/>
      <w:bCs/>
      <w:color w:val="365F91" w:themeColor="accent1" w:themeShade="BF"/>
      <w:sz w:val="24"/>
      <w:szCs w:val="28"/>
      <w:u w:val="single"/>
    </w:rPr>
  </w:style>
  <w:style w:type="paragraph" w:styleId="Heading2">
    <w:name w:val="heading 2"/>
    <w:basedOn w:val="Normal"/>
    <w:next w:val="Normal"/>
    <w:link w:val="Heading2Char"/>
    <w:uiPriority w:val="9"/>
    <w:semiHidden/>
    <w:unhideWhenUsed/>
    <w:qFormat/>
    <w:rsid w:val="00330717"/>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717"/>
    <w:rPr>
      <w:rFonts w:ascii="Times New Roman" w:eastAsiaTheme="majorEastAsia" w:hAnsi="Times New Roman" w:cstheme="majorBidi"/>
      <w:b/>
      <w:bCs/>
      <w:color w:val="365F91" w:themeColor="accent1" w:themeShade="BF"/>
      <w:sz w:val="24"/>
      <w:szCs w:val="28"/>
      <w:u w:val="single"/>
    </w:rPr>
  </w:style>
  <w:style w:type="numbering" w:customStyle="1" w:styleId="TrustAgreementPlanlevels">
    <w:name w:val="Trust Agreement &amp; Plan levels"/>
    <w:uiPriority w:val="99"/>
    <w:rsid w:val="00330717"/>
    <w:pPr>
      <w:numPr>
        <w:numId w:val="1"/>
      </w:numPr>
    </w:pPr>
  </w:style>
  <w:style w:type="character" w:customStyle="1" w:styleId="Heading2Char">
    <w:name w:val="Heading 2 Char"/>
    <w:basedOn w:val="DefaultParagraphFont"/>
    <w:link w:val="Heading2"/>
    <w:uiPriority w:val="9"/>
    <w:semiHidden/>
    <w:rsid w:val="00330717"/>
    <w:rPr>
      <w:rFonts w:asciiTheme="majorHAnsi" w:eastAsiaTheme="majorEastAsia" w:hAnsiTheme="majorHAnsi" w:cstheme="majorBidi"/>
      <w:b/>
      <w:bCs/>
      <w:color w:val="4F81BD" w:themeColor="accent1"/>
      <w:sz w:val="26"/>
      <w:szCs w:val="26"/>
    </w:rPr>
  </w:style>
  <w:style w:type="paragraph" w:styleId="Subtitle">
    <w:name w:val="Subtitle"/>
    <w:basedOn w:val="Normal"/>
    <w:next w:val="Heading2"/>
    <w:link w:val="SubtitleChar"/>
    <w:uiPriority w:val="11"/>
    <w:qFormat/>
    <w:rsid w:val="00330717"/>
    <w:pPr>
      <w:numPr>
        <w:ilvl w:val="1"/>
      </w:numPr>
      <w:spacing w:after="0" w:line="240" w:lineRule="auto"/>
    </w:pPr>
    <w:rPr>
      <w:rFonts w:ascii="Times New Roman" w:eastAsiaTheme="majorEastAsia" w:hAnsi="Times New Roman"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0717"/>
    <w:rPr>
      <w:rFonts w:ascii="Times New Roman" w:eastAsiaTheme="majorEastAsia" w:hAnsi="Times New Roman"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Heading2"/>
    <w:link w:val="Heading1Char"/>
    <w:uiPriority w:val="9"/>
    <w:qFormat/>
    <w:rsid w:val="00330717"/>
    <w:pPr>
      <w:keepNext/>
      <w:keepLines/>
      <w:numPr>
        <w:numId w:val="6"/>
      </w:numPr>
      <w:spacing w:line="240" w:lineRule="auto"/>
      <w:outlineLvl w:val="0"/>
    </w:pPr>
    <w:rPr>
      <w:rFonts w:ascii="Times New Roman" w:eastAsiaTheme="majorEastAsia" w:hAnsi="Times New Roman" w:cstheme="majorBidi"/>
      <w:b/>
      <w:bCs/>
      <w:color w:val="365F91" w:themeColor="accent1" w:themeShade="BF"/>
      <w:sz w:val="24"/>
      <w:szCs w:val="28"/>
      <w:u w:val="single"/>
    </w:rPr>
  </w:style>
  <w:style w:type="paragraph" w:styleId="Heading2">
    <w:name w:val="heading 2"/>
    <w:basedOn w:val="Normal"/>
    <w:next w:val="Normal"/>
    <w:link w:val="Heading2Char"/>
    <w:uiPriority w:val="9"/>
    <w:semiHidden/>
    <w:unhideWhenUsed/>
    <w:qFormat/>
    <w:rsid w:val="00330717"/>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717"/>
    <w:rPr>
      <w:rFonts w:ascii="Times New Roman" w:eastAsiaTheme="majorEastAsia" w:hAnsi="Times New Roman" w:cstheme="majorBidi"/>
      <w:b/>
      <w:bCs/>
      <w:color w:val="365F91" w:themeColor="accent1" w:themeShade="BF"/>
      <w:sz w:val="24"/>
      <w:szCs w:val="28"/>
      <w:u w:val="single"/>
    </w:rPr>
  </w:style>
  <w:style w:type="numbering" w:customStyle="1" w:styleId="TrustAgreementPlanlevels">
    <w:name w:val="Trust Agreement &amp; Plan levels"/>
    <w:uiPriority w:val="99"/>
    <w:rsid w:val="00330717"/>
    <w:pPr>
      <w:numPr>
        <w:numId w:val="1"/>
      </w:numPr>
    </w:pPr>
  </w:style>
  <w:style w:type="character" w:customStyle="1" w:styleId="Heading2Char">
    <w:name w:val="Heading 2 Char"/>
    <w:basedOn w:val="DefaultParagraphFont"/>
    <w:link w:val="Heading2"/>
    <w:uiPriority w:val="9"/>
    <w:semiHidden/>
    <w:rsid w:val="00330717"/>
    <w:rPr>
      <w:rFonts w:asciiTheme="majorHAnsi" w:eastAsiaTheme="majorEastAsia" w:hAnsiTheme="majorHAnsi" w:cstheme="majorBidi"/>
      <w:b/>
      <w:bCs/>
      <w:color w:val="4F81BD" w:themeColor="accent1"/>
      <w:sz w:val="26"/>
      <w:szCs w:val="26"/>
    </w:rPr>
  </w:style>
  <w:style w:type="paragraph" w:styleId="Subtitle">
    <w:name w:val="Subtitle"/>
    <w:basedOn w:val="Normal"/>
    <w:next w:val="Heading2"/>
    <w:link w:val="SubtitleChar"/>
    <w:uiPriority w:val="11"/>
    <w:qFormat/>
    <w:rsid w:val="00330717"/>
    <w:pPr>
      <w:numPr>
        <w:ilvl w:val="1"/>
      </w:numPr>
      <w:spacing w:after="0" w:line="240" w:lineRule="auto"/>
    </w:pPr>
    <w:rPr>
      <w:rFonts w:ascii="Times New Roman" w:eastAsiaTheme="majorEastAsia" w:hAnsi="Times New Roman"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0717"/>
    <w:rPr>
      <w:rFonts w:ascii="Times New Roman" w:eastAsiaTheme="majorEastAsia" w:hAnsi="Times New Roman"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l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lo.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Tremblay</dc:creator>
  <cp:lastModifiedBy>Allison Tremblay</cp:lastModifiedBy>
  <cp:revision>2</cp:revision>
  <dcterms:created xsi:type="dcterms:W3CDTF">2015-06-25T17:12:00Z</dcterms:created>
  <dcterms:modified xsi:type="dcterms:W3CDTF">2015-06-25T17:35:00Z</dcterms:modified>
</cp:coreProperties>
</file>